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A4B98" w14:textId="77777777" w:rsidR="00442040" w:rsidRPr="00747645" w:rsidRDefault="00442040" w:rsidP="0074764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E0FA3EE" w14:textId="77777777" w:rsidR="00442040" w:rsidRPr="00747645" w:rsidRDefault="00442040" w:rsidP="0074764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21C4894" w14:textId="77777777" w:rsidR="00442040" w:rsidRPr="00747645" w:rsidRDefault="00442040" w:rsidP="0074764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716CF16" w14:textId="77777777" w:rsidR="00442040" w:rsidRPr="00747645" w:rsidRDefault="00442040" w:rsidP="0074764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3B8B646" w14:textId="77777777" w:rsidR="00442040" w:rsidRPr="00747645" w:rsidRDefault="00442040" w:rsidP="0074764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DAA0C33" w14:textId="63F9FC86" w:rsidR="00442040" w:rsidRDefault="00442040" w:rsidP="0074764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859919A" w14:textId="77777777" w:rsidR="00747645" w:rsidRPr="00747645" w:rsidRDefault="00747645" w:rsidP="0074764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9AABECA" w14:textId="2416FDF9" w:rsidR="00442040" w:rsidRPr="00747645" w:rsidRDefault="00E6424F" w:rsidP="0074764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645">
        <w:rPr>
          <w:rFonts w:ascii="Times New Roman" w:hAnsi="Times New Roman" w:cs="Times New Roman"/>
          <w:sz w:val="24"/>
          <w:szCs w:val="24"/>
        </w:rPr>
        <w:t>Pepsi-Cola Corporation World Headquarters</w:t>
      </w:r>
    </w:p>
    <w:p w14:paraId="45002EEB" w14:textId="2DE15C9D" w:rsidR="00442040" w:rsidRPr="00747645" w:rsidRDefault="00E6424F" w:rsidP="0074764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Student Name</w:t>
      </w:r>
    </w:p>
    <w:p w14:paraId="7C7C220D" w14:textId="4A8217A7" w:rsidR="00442040" w:rsidRPr="00747645" w:rsidRDefault="00E6424F" w:rsidP="0074764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 Affiliation</w:t>
      </w:r>
    </w:p>
    <w:p w14:paraId="7BD23A9B" w14:textId="6FE301B2" w:rsidR="00442040" w:rsidRPr="00747645" w:rsidRDefault="00E6424F" w:rsidP="0074764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Course</w:t>
      </w:r>
    </w:p>
    <w:p w14:paraId="72C4EC1E" w14:textId="425ABBBF" w:rsidR="00442040" w:rsidRPr="00747645" w:rsidRDefault="00E6424F" w:rsidP="0074764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Date</w:t>
      </w:r>
    </w:p>
    <w:p w14:paraId="6016A5AB" w14:textId="77777777" w:rsidR="00442040" w:rsidRPr="00747645" w:rsidRDefault="00442040" w:rsidP="0074764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37AC85F" w14:textId="77777777" w:rsidR="00442040" w:rsidRPr="00747645" w:rsidRDefault="00442040" w:rsidP="0074764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6D07FFE" w14:textId="77777777" w:rsidR="00442040" w:rsidRPr="00747645" w:rsidRDefault="00442040" w:rsidP="0074764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0C9257B" w14:textId="77777777" w:rsidR="00442040" w:rsidRPr="00747645" w:rsidRDefault="00442040" w:rsidP="0074764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04B1F6F" w14:textId="77777777" w:rsidR="00442040" w:rsidRPr="00747645" w:rsidRDefault="00442040" w:rsidP="0074764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AABB0F5" w14:textId="77777777" w:rsidR="00442040" w:rsidRPr="00747645" w:rsidRDefault="00442040" w:rsidP="0074764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AF40AC1" w14:textId="6F338128" w:rsidR="004B78BC" w:rsidRPr="00747645" w:rsidRDefault="00E6424F" w:rsidP="0074764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Where does this project live in the architect's career?</w:t>
      </w:r>
    </w:p>
    <w:p w14:paraId="625370A5" w14:textId="680FB076" w:rsidR="00BC14EE" w:rsidRPr="00747645" w:rsidRDefault="00E6424F" w:rsidP="007476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645">
        <w:rPr>
          <w:rFonts w:ascii="Times New Roman" w:hAnsi="Times New Roman" w:cs="Times New Roman"/>
          <w:sz w:val="24"/>
          <w:szCs w:val="24"/>
        </w:rPr>
        <w:t>The architecture of the headquarter building of Pepsi-Cola World Company used an internation</w:t>
      </w:r>
      <w:r w:rsidR="00F36271" w:rsidRPr="00747645">
        <w:rPr>
          <w:rFonts w:ascii="Times New Roman" w:hAnsi="Times New Roman" w:cs="Times New Roman"/>
          <w:sz w:val="24"/>
          <w:szCs w:val="24"/>
        </w:rPr>
        <w:t>al</w:t>
      </w:r>
      <w:r w:rsidRPr="00747645">
        <w:rPr>
          <w:rFonts w:ascii="Times New Roman" w:hAnsi="Times New Roman" w:cs="Times New Roman"/>
          <w:sz w:val="24"/>
          <w:szCs w:val="24"/>
        </w:rPr>
        <w:t xml:space="preserve"> style that makes it </w:t>
      </w:r>
      <w:r w:rsidR="00F36271" w:rsidRPr="00747645">
        <w:rPr>
          <w:rFonts w:ascii="Times New Roman" w:hAnsi="Times New Roman" w:cs="Times New Roman"/>
          <w:sz w:val="24"/>
          <w:szCs w:val="24"/>
        </w:rPr>
        <w:t xml:space="preserve">live in a better place in the lives of the architecture. Moreover, the act of building the Pepsi-Cola Corporation Headquarters in 1960 made it to live well in the lives of architects. </w:t>
      </w:r>
      <w:r w:rsidR="00EC537A" w:rsidRPr="00747645">
        <w:rPr>
          <w:rFonts w:ascii="Times New Roman" w:hAnsi="Times New Roman" w:cs="Times New Roman"/>
          <w:sz w:val="24"/>
          <w:szCs w:val="24"/>
        </w:rPr>
        <w:t xml:space="preserve">Nevertheless, the establishment and building of the Peps-Cola Corporation Headquarters attributed to the security of a better place in the lives of architects through the pushing of the limits that were thought to have been technically possible. </w:t>
      </w:r>
      <w:r w:rsidR="00BC578F" w:rsidRPr="00747645">
        <w:rPr>
          <w:rFonts w:ascii="Times New Roman" w:hAnsi="Times New Roman" w:cs="Times New Roman"/>
          <w:sz w:val="24"/>
          <w:szCs w:val="24"/>
        </w:rPr>
        <w:t xml:space="preserve">The architects proved their capabilities through various ways so that they can ensure that the building will stand and remain to be in a better place in their lives. </w:t>
      </w:r>
      <w:r w:rsidR="00442040" w:rsidRPr="00747645">
        <w:rPr>
          <w:rFonts w:ascii="Times New Roman" w:hAnsi="Times New Roman" w:cs="Times New Roman"/>
          <w:sz w:val="24"/>
          <w:szCs w:val="24"/>
        </w:rPr>
        <w:t>(</w:t>
      </w:r>
      <w:r w:rsidR="00442040"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Gould </w:t>
      </w:r>
      <w:r w:rsidR="00442040" w:rsidRPr="007476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et al, </w:t>
      </w:r>
      <w:r w:rsidR="00442040"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2015). </w:t>
      </w:r>
    </w:p>
    <w:p w14:paraId="5BE2C88F" w14:textId="77F8E797" w:rsidR="004B78BC" w:rsidRPr="00747645" w:rsidRDefault="00E6424F" w:rsidP="0074764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476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What makes it important to their career?</w:t>
      </w:r>
    </w:p>
    <w:p w14:paraId="7CE2D6A5" w14:textId="65CD8589" w:rsidR="00442040" w:rsidRPr="00747645" w:rsidRDefault="00E6424F" w:rsidP="007476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To start with the importance of the project to the career of architecture, </w:t>
      </w:r>
      <w:r w:rsidR="002F546F"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Pepsi-Cola Corporation World Headquarters showed how innovative and creative architectures are in their projects. </w:t>
      </w:r>
      <w:r w:rsidR="006C67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</w:t>
      </w:r>
      <w:r w:rsidR="002F546F"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enhances trustworthiness and quality work such that people will be referring them as good, determined, classic and quality oriented individuals in their work thus promoting their work</w:t>
      </w:r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(Tanwar, 2013).</w:t>
      </w:r>
    </w:p>
    <w:p w14:paraId="6400232F" w14:textId="25EECEEC" w:rsidR="008F3DD7" w:rsidRPr="00747645" w:rsidRDefault="00E6424F" w:rsidP="0074764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476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Who were the designer's peers and how does this project produce a conversation with these other projects?</w:t>
      </w:r>
    </w:p>
    <w:p w14:paraId="51A7BB8F" w14:textId="605AF1FA" w:rsidR="008F3DD7" w:rsidRPr="00747645" w:rsidRDefault="00E6424F" w:rsidP="007476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645">
        <w:rPr>
          <w:rFonts w:ascii="Times New Roman" w:hAnsi="Times New Roman" w:cs="Times New Roman"/>
          <w:sz w:val="24"/>
          <w:szCs w:val="24"/>
        </w:rPr>
        <w:t xml:space="preserve">In the </w:t>
      </w:r>
      <w:r w:rsidR="008E4368" w:rsidRPr="00747645">
        <w:rPr>
          <w:rFonts w:ascii="Times New Roman" w:hAnsi="Times New Roman" w:cs="Times New Roman"/>
          <w:sz w:val="24"/>
          <w:szCs w:val="24"/>
        </w:rPr>
        <w:t xml:space="preserve">Pepsi-Cola Corporation World Headquarters project, there are the main designers who are the architecture, structural engineers, and mechanical engineers. The project produces a conversation with the other projects on the way it portrays a clear, better, and quality work that can be admired and followed by other projects. In summation, it sets a good of how a good project </w:t>
      </w:r>
      <w:r w:rsidR="008E4368" w:rsidRPr="00747645">
        <w:rPr>
          <w:rFonts w:ascii="Times New Roman" w:hAnsi="Times New Roman" w:cs="Times New Roman"/>
          <w:sz w:val="24"/>
          <w:szCs w:val="24"/>
        </w:rPr>
        <w:lastRenderedPageBreak/>
        <w:t>should be and how everyone should be working towards the empowerment of a project</w:t>
      </w:r>
      <w:r w:rsidR="00442040" w:rsidRPr="00747645">
        <w:rPr>
          <w:rFonts w:ascii="Times New Roman" w:hAnsi="Times New Roman" w:cs="Times New Roman"/>
          <w:sz w:val="24"/>
          <w:szCs w:val="24"/>
        </w:rPr>
        <w:t xml:space="preserve"> (</w:t>
      </w:r>
      <w:r w:rsidR="00442040"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Jalagat </w:t>
      </w:r>
      <w:r w:rsidR="00442040" w:rsidRPr="007476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et al, </w:t>
      </w:r>
      <w:r w:rsidR="00442040"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2018).</w:t>
      </w:r>
    </w:p>
    <w:p w14:paraId="6AD4242D" w14:textId="77777777" w:rsidR="00747645" w:rsidRDefault="00E6424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3E441A76" w14:textId="55850315" w:rsidR="00442040" w:rsidRPr="00747645" w:rsidRDefault="00E6424F" w:rsidP="0074764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Reference</w:t>
      </w:r>
    </w:p>
    <w:p w14:paraId="0070E40C" w14:textId="0A7B1AB5" w:rsidR="007C319B" w:rsidRPr="00747645" w:rsidRDefault="00E6424F" w:rsidP="0074764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64268842"/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Gould, K. A., Pellow, D. N., &amp; Schnaiberg, A. (2015). </w:t>
      </w:r>
      <w:bookmarkEnd w:id="0"/>
      <w:r w:rsidRPr="007476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treadmill of production: Injustice and unsustainability in the global economy</w:t>
      </w:r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. Routledge.</w:t>
      </w:r>
    </w:p>
    <w:p w14:paraId="2FBC465B" w14:textId="32A2DB41" w:rsidR="00442040" w:rsidRPr="00747645" w:rsidRDefault="00E6424F" w:rsidP="0074764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64268904"/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Tanwar, R. (2013). </w:t>
      </w:r>
      <w:bookmarkEnd w:id="1"/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Porter’s generic competitive strategies. </w:t>
      </w:r>
      <w:r w:rsidRPr="007476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business and management</w:t>
      </w:r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476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(1), 11-17.</w:t>
      </w:r>
    </w:p>
    <w:p w14:paraId="2CC20902" w14:textId="7E5259AF" w:rsidR="00442040" w:rsidRPr="00747645" w:rsidRDefault="00E6424F" w:rsidP="00747645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4268945"/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Jalagat Jr, R., Dalluay, V., &amp; Aquino Jr, P. (2018). </w:t>
      </w:r>
      <w:bookmarkEnd w:id="2"/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Assessing the Impact of Corporate Social Responsibility (CSR), Corporate Reputation, and Customer Loyalty: The Case of Pepsi-Cola Philippines, Inc. </w:t>
      </w:r>
      <w:r w:rsidRPr="007476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JAME</w:t>
      </w:r>
      <w:r w:rsidRPr="00747645">
        <w:rPr>
          <w:rFonts w:ascii="Times New Roman" w:hAnsi="Times New Roman" w:cs="Times New Roman"/>
          <w:sz w:val="24"/>
          <w:szCs w:val="24"/>
          <w:shd w:val="clear" w:color="auto" w:fill="FFFFFF"/>
        </w:rPr>
        <w:t>S.</w:t>
      </w:r>
    </w:p>
    <w:sectPr w:rsidR="00442040" w:rsidRPr="00747645" w:rsidSect="0074764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2C8CA" w14:textId="77777777" w:rsidR="00002547" w:rsidRDefault="00002547">
      <w:pPr>
        <w:spacing w:after="0" w:line="240" w:lineRule="auto"/>
      </w:pPr>
      <w:r>
        <w:separator/>
      </w:r>
    </w:p>
  </w:endnote>
  <w:endnote w:type="continuationSeparator" w:id="0">
    <w:p w14:paraId="1B07BB3A" w14:textId="77777777" w:rsidR="00002547" w:rsidRDefault="0000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60DD0" w14:textId="77777777" w:rsidR="00002547" w:rsidRDefault="00002547">
      <w:pPr>
        <w:spacing w:after="0" w:line="240" w:lineRule="auto"/>
      </w:pPr>
      <w:r>
        <w:separator/>
      </w:r>
    </w:p>
  </w:footnote>
  <w:footnote w:type="continuationSeparator" w:id="0">
    <w:p w14:paraId="0ABC1EB0" w14:textId="77777777" w:rsidR="00002547" w:rsidRDefault="0000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1324841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B25123" w14:textId="421E332C" w:rsidR="00442040" w:rsidRPr="00747645" w:rsidRDefault="00E6424F" w:rsidP="00747645">
        <w:pPr>
          <w:pStyle w:val="Header"/>
          <w:spacing w:line="480" w:lineRule="auto"/>
          <w:jc w:val="both"/>
          <w:rPr>
            <w:rFonts w:ascii="Times New Roman" w:hAnsi="Times New Roman" w:cs="Times New Roman"/>
            <w:sz w:val="24"/>
            <w:szCs w:val="24"/>
          </w:rPr>
        </w:pPr>
        <w:r w:rsidRPr="00747645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PEPSI-COLA CORPORATION WORLD HEADQUARTERS </w:t>
        </w:r>
        <w:r w:rsidR="00747645" w:rsidRPr="00747645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ab/>
        </w:r>
        <w:r w:rsidRPr="0074764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7476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76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476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76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76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B7A5E22" w14:textId="77777777" w:rsidR="00442040" w:rsidRDefault="00442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257C" w14:textId="6488B15E" w:rsidR="00442040" w:rsidRPr="00747645" w:rsidRDefault="00E6424F" w:rsidP="00747645">
    <w:pPr>
      <w:pStyle w:val="Header"/>
      <w:spacing w:line="480" w:lineRule="auto"/>
      <w:jc w:val="both"/>
      <w:rPr>
        <w:rFonts w:ascii="Times New Roman" w:hAnsi="Times New Roman" w:cs="Times New Roman"/>
        <w:sz w:val="24"/>
        <w:szCs w:val="24"/>
      </w:rPr>
    </w:pPr>
    <w:r w:rsidRPr="00747645">
      <w:rPr>
        <w:rFonts w:ascii="Times New Roman" w:hAnsi="Times New Roman" w:cs="Times New Roman"/>
        <w:sz w:val="24"/>
        <w:szCs w:val="24"/>
        <w:shd w:val="clear" w:color="auto" w:fill="FFFFFF"/>
      </w:rPr>
      <w:t>Running Head: PEPSI-COLA CORPORATION WORLD HEADQUARTERS </w:t>
    </w:r>
    <w:r w:rsidRPr="00747645">
      <w:rPr>
        <w:rFonts w:ascii="Times New Roman" w:hAnsi="Times New Roman" w:cs="Times New Roman"/>
        <w:sz w:val="24"/>
        <w:szCs w:val="24"/>
        <w:shd w:val="clear" w:color="auto" w:fill="FFFFFF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NjY2MzA0NTY3M7VQ0lEKTi0uzszPAykwrgUAR8ujKiwAAAA="/>
  </w:docVars>
  <w:rsids>
    <w:rsidRoot w:val="00874D08"/>
    <w:rsid w:val="00002547"/>
    <w:rsid w:val="0015103B"/>
    <w:rsid w:val="002B3F3F"/>
    <w:rsid w:val="002F546F"/>
    <w:rsid w:val="00442040"/>
    <w:rsid w:val="004B78BC"/>
    <w:rsid w:val="005A3C48"/>
    <w:rsid w:val="006B02B9"/>
    <w:rsid w:val="006C6739"/>
    <w:rsid w:val="00747645"/>
    <w:rsid w:val="007C319B"/>
    <w:rsid w:val="00874D08"/>
    <w:rsid w:val="008E4368"/>
    <w:rsid w:val="008F3DD7"/>
    <w:rsid w:val="00971C0C"/>
    <w:rsid w:val="00BC14EE"/>
    <w:rsid w:val="00BC578F"/>
    <w:rsid w:val="00E6424F"/>
    <w:rsid w:val="00EC537A"/>
    <w:rsid w:val="00F15311"/>
    <w:rsid w:val="00F3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8502"/>
  <w15:chartTrackingRefBased/>
  <w15:docId w15:val="{A1550BC0-7C47-46DD-B21B-FD8B1016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040"/>
  </w:style>
  <w:style w:type="paragraph" w:styleId="Footer">
    <w:name w:val="footer"/>
    <w:basedOn w:val="Normal"/>
    <w:link w:val="FooterChar"/>
    <w:uiPriority w:val="99"/>
    <w:unhideWhenUsed/>
    <w:rsid w:val="00442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OYAKAPEL</dc:creator>
  <cp:lastModifiedBy>OSCAR OYAKAPEL</cp:lastModifiedBy>
  <cp:revision>2</cp:revision>
  <dcterms:created xsi:type="dcterms:W3CDTF">2021-02-15T15:14:00Z</dcterms:created>
  <dcterms:modified xsi:type="dcterms:W3CDTF">2021-02-15T15:14:00Z</dcterms:modified>
</cp:coreProperties>
</file>